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Style w:val="5"/>
        </w:rPr>
        <w:t> </w:t>
      </w:r>
    </w:p>
    <w:p>
      <w:pPr>
        <w:widowControl/>
        <w:jc w:val="left"/>
        <w:rPr>
          <w:rFonts w:cs="Times New Roman"/>
          <w:kern w:val="0"/>
          <w:sz w:val="24"/>
        </w:rPr>
      </w:pPr>
    </w:p>
    <w:tbl>
      <w:tblPr>
        <w:tblStyle w:val="3"/>
        <w:tblW w:w="8336" w:type="dxa"/>
        <w:tblInd w:w="-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4817"/>
        <w:gridCol w:w="31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36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5A5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bookmarkStart w:id="0" w:name="_GoBack"/>
            <w:r>
              <w:rPr>
                <w:rFonts w:hint="eastAsia"/>
                <w:b/>
                <w:bCs/>
              </w:rPr>
              <w:t>202</w:t>
            </w: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  <w:lang w:val="en-US" w:eastAsia="zh-CN"/>
              </w:rPr>
              <w:t>新型农业经营主体</w:t>
            </w:r>
            <w:r>
              <w:rPr>
                <w:rFonts w:hint="eastAsia"/>
                <w:b/>
                <w:bCs/>
              </w:rPr>
              <w:t>骨干辅导员高级研修班学员报名表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7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农经干部（辅导员）所在单位名称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7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农经干部（辅导员）所在单位统一社会</w:t>
            </w:r>
            <w:r>
              <w:rPr>
                <w:rFonts w:ascii="宋体" w:hAnsi="宋体" w:eastAsia="宋体" w:cs="宋体"/>
                <w:sz w:val="22"/>
                <w:szCs w:val="22"/>
              </w:rPr>
              <w:t>信用代码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报名者联系方式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活动报名者姓名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报名者职称或职称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从事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新型农业经营主体</w:t>
            </w:r>
            <w:r>
              <w:rPr>
                <w:rFonts w:ascii="宋体" w:hAnsi="宋体" w:eastAsia="宋体" w:cs="宋体"/>
                <w:sz w:val="22"/>
                <w:szCs w:val="22"/>
              </w:rPr>
              <w:t>指导服务工作年限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电子邮箱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固定电</w:t>
            </w:r>
            <w:r>
              <w:rPr>
                <w:sz w:val="22"/>
                <w:szCs w:val="22"/>
              </w:rPr>
              <w:t>话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传    </w:t>
            </w:r>
            <w:r>
              <w:rPr>
                <w:sz w:val="22"/>
                <w:szCs w:val="22"/>
              </w:rPr>
              <w:t>真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手    </w:t>
            </w:r>
            <w:r>
              <w:rPr>
                <w:sz w:val="22"/>
                <w:szCs w:val="22"/>
              </w:rPr>
              <w:t>机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通信地址（邮寄</w:t>
            </w:r>
            <w:r>
              <w:rPr>
                <w:rFonts w:ascii="宋体" w:hAnsi="宋体" w:eastAsia="宋体" w:cs="宋体"/>
                <w:sz w:val="22"/>
                <w:szCs w:val="22"/>
              </w:rPr>
              <w:t>期刊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等）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邮    </w:t>
            </w:r>
            <w:r>
              <w:rPr>
                <w:sz w:val="22"/>
                <w:szCs w:val="22"/>
              </w:rPr>
              <w:t>编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56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所在地区基本情况介绍</w:t>
            </w: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所在地区拥有农民合作社注册登记数量（家）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所在地区拥有省级示范社数量（家）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所在地区拥有国家农民合作社示范社数量（家）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所在地区拥有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家庭农场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注册登记数量（家）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所在地区拥有省级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家庭农场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数量（家）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所在地区20</w:t>
            </w: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年是否有专门面向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新型农业经营主体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带头人或辅导员的培训计划（填：有/没有）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所在地区202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年是否制定专门宣传推介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新型农业经营主体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的项目计划（填：有/没有）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所在地区是否是全国农民专业合作社质量提升整县推进试点（填是或者否，如果是地市或者省级层面，则填写本地区试点单位总个数）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最近2年当地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新型农业经营主体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发展情况被宣传报道的最高层级新闻媒体单位（请在右边注明该单位名称，比如央视新闻联播、农民日报等）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35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产业类型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6" w:lineRule="atLeast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当地主要产业类型（请填写序号或者打钩）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</w:p>
          <w:p>
            <w:pPr>
              <w:pStyle w:val="2"/>
              <w:widowControl/>
              <w:wordWrap w:val="0"/>
              <w:spacing w:beforeAutospacing="0" w:afterAutospacing="0" w:line="306" w:lineRule="atLeas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1）粮棉油糖；（2）蔬菜（含菌菇等）；（3）水果；（4）茶叶（中药材）等特色种植类；（5）畜类（含猪牛羊等）；（6）禽类（含鸡鸭鹅等）；（7）水产类（含鱼虾蟹等）；（8）蜂业等特色养殖类；（9）其他______</w:t>
            </w: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所在地区（省、地市或县）产业特色和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新型农业经营主体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发展特点</w:t>
            </w:r>
            <w:r>
              <w:rPr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如本地区拥有</w:t>
            </w:r>
            <w:r>
              <w:rPr>
                <w:sz w:val="22"/>
                <w:szCs w:val="22"/>
              </w:rPr>
              <w:t>的</w:t>
            </w:r>
            <w:r>
              <w:rPr>
                <w:rFonts w:hint="eastAsia"/>
                <w:sz w:val="22"/>
                <w:szCs w:val="22"/>
              </w:rPr>
              <w:t>中国特色农产品优势区、现</w:t>
            </w:r>
            <w:r>
              <w:rPr>
                <w:sz w:val="22"/>
                <w:szCs w:val="22"/>
              </w:rPr>
              <w:t>代农业示范区、</w:t>
            </w:r>
            <w:r>
              <w:rPr>
                <w:rFonts w:hint="eastAsia"/>
                <w:sz w:val="22"/>
                <w:szCs w:val="22"/>
              </w:rPr>
              <w:t>现代</w:t>
            </w:r>
            <w:r>
              <w:rPr>
                <w:sz w:val="22"/>
                <w:szCs w:val="22"/>
              </w:rPr>
              <w:t>农业产业园、</w:t>
            </w:r>
            <w:r>
              <w:rPr>
                <w:rFonts w:hint="eastAsia"/>
                <w:sz w:val="22"/>
                <w:szCs w:val="22"/>
              </w:rPr>
              <w:t>优势特色产业集群等情况</w:t>
            </w:r>
            <w:r>
              <w:rPr>
                <w:sz w:val="22"/>
                <w:szCs w:val="22"/>
              </w:rPr>
              <w:t>，</w:t>
            </w:r>
            <w:r>
              <w:rPr>
                <w:rStyle w:val="5"/>
                <w:sz w:val="22"/>
                <w:szCs w:val="22"/>
              </w:rPr>
              <w:t>限</w:t>
            </w:r>
            <w:r>
              <w:rPr>
                <w:rStyle w:val="5"/>
                <w:rFonts w:hint="eastAsia"/>
                <w:sz w:val="22"/>
                <w:szCs w:val="22"/>
              </w:rPr>
              <w:t>6</w:t>
            </w:r>
            <w:r>
              <w:rPr>
                <w:rStyle w:val="5"/>
                <w:sz w:val="22"/>
                <w:szCs w:val="22"/>
              </w:rPr>
              <w:t>00字以内</w:t>
            </w:r>
            <w:r>
              <w:rPr>
                <w:sz w:val="22"/>
                <w:szCs w:val="22"/>
              </w:rPr>
              <w:t>）</w:t>
            </w: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农经干部（合作社辅导员）报名者个人情况介绍</w:t>
            </w:r>
            <w:r>
              <w:rPr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包括工作经历、合作社领域工作情况、个人文章发表情况等，</w:t>
            </w:r>
            <w:r>
              <w:rPr>
                <w:rStyle w:val="5"/>
                <w:sz w:val="22"/>
                <w:szCs w:val="22"/>
              </w:rPr>
              <w:t>限</w:t>
            </w:r>
            <w:r>
              <w:rPr>
                <w:rStyle w:val="5"/>
                <w:rFonts w:hint="eastAsia"/>
                <w:sz w:val="22"/>
                <w:szCs w:val="22"/>
              </w:rPr>
              <w:t>6</w:t>
            </w:r>
            <w:r>
              <w:rPr>
                <w:rStyle w:val="5"/>
                <w:sz w:val="22"/>
                <w:szCs w:val="22"/>
              </w:rPr>
              <w:t>00字以内</w:t>
            </w:r>
            <w:r>
              <w:rPr>
                <w:sz w:val="22"/>
                <w:szCs w:val="22"/>
              </w:rPr>
              <w:t>）</w:t>
            </w: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对</w:t>
            </w:r>
            <w:r>
              <w:rPr>
                <w:rFonts w:ascii="宋体" w:hAnsi="宋体" w:eastAsia="宋体" w:cs="宋体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年度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新型农业经营主体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骨干辅导员高级研修班系列活动的期待与意见建议（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限300字以内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单位推荐意见（请盖单位公章）</w:t>
            </w: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日期：</w:t>
            </w: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sz w:val="22"/>
                <w:szCs w:val="22"/>
              </w:rPr>
            </w:pPr>
          </w:p>
        </w:tc>
      </w:tr>
    </w:tbl>
    <w:p>
      <w:r>
        <w:rPr>
          <w:rFonts w:hint="eastAsia"/>
        </w:rPr>
        <w:t>注：本表填写好后请把盖章扫描件和word电子稿发送到报名邮箱：2787288121@qq.com；</w:t>
      </w:r>
    </w:p>
    <w:p>
      <w:pPr>
        <w:ind w:firstLine="420" w:firstLineChars="200"/>
      </w:pPr>
      <w:r>
        <w:rPr>
          <w:rFonts w:hint="eastAsia"/>
        </w:rPr>
        <w:t>盖章扫描件也可以用盖章传真件替代，传真号码：010-5919772</w:t>
      </w:r>
      <w:r>
        <w:t>8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33DCE"/>
    <w:rsid w:val="78A3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2022-03-13T09:39:00Z</dcterms:created>
  <dc:creator>choul</dc:creator>
  <cp:lastModifiedBy>choul</cp:lastModifiedBy>
  <dcterms:modified xsi:type="dcterms:W3CDTF">2022-03-13T09:40:02Z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29298CE7C2454A56A1E55C1C78451DE9</vt:lpwstr>
  </property>
</Properties>
</file>